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eastAsia="黑体" w:cs="Times New Roman"/>
          <w:sz w:val="32"/>
          <w:szCs w:val="32"/>
        </w:rPr>
        <w:t xml:space="preserve">附件1 课程表 </w:t>
      </w:r>
    </w:p>
    <w:bookmarkEnd w:id="0"/>
    <w:tbl>
      <w:tblPr>
        <w:tblStyle w:val="4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7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71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  <w:p>
            <w:pPr>
              <w:pStyle w:val="2"/>
              <w:jc w:val="center"/>
              <w:rPr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（周四）</w:t>
            </w:r>
          </w:p>
        </w:tc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上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间：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:0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0-1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课程主题：《律师事务所从事证券法律业务管理办法》《关于审理证券市场虚假陈述侵权民事赔偿案件的若干规定》解读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授课老师：证监会法律部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专家、司法部律师工作局专家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间：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10:45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2:15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课程主题：股票发行注册审核监管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授课老师：证监会发行部专家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下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间：1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4:00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5:3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课程主题：境内企业境外上市备案监管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授课老师：证监会国际部专家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间：15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45-17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  <w:p>
            <w:pPr>
              <w:widowControl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课程主题：上市公司退市监管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授课老师：证监会上市部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1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（周五）</w:t>
            </w:r>
          </w:p>
        </w:tc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上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间：09: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0-10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:3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  <w:p>
            <w:pPr>
              <w:widowControl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课程主题：沪市股票发行注册审核监管</w:t>
            </w:r>
          </w:p>
          <w:p>
            <w:pPr>
              <w:widowControl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授课师资：上交所上市审核中心专家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间：10:45-12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15</w:t>
            </w:r>
          </w:p>
          <w:p>
            <w:pPr>
              <w:widowControl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课程主题：深市股票发行注册审核监管</w:t>
            </w:r>
          </w:p>
          <w:p>
            <w:pPr>
              <w:widowControl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授课老师：深交所上市审核中心专家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下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间：14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:0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0-15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30</w:t>
            </w:r>
          </w:p>
          <w:p>
            <w:pPr>
              <w:widowControl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课程主题：北交所股票发行注册审核监管</w:t>
            </w:r>
          </w:p>
          <w:p>
            <w:pPr>
              <w:widowControl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授课老师：北交所上市审核中心专家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ZGE1OTIwMzk3MTdmZWQ1NDYyYWQ4MDNiOGI3MGMifQ=="/>
  </w:docVars>
  <w:rsids>
    <w:rsidRoot w:val="136B12C4"/>
    <w:rsid w:val="136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2023-11-09T02:10:00Z</dcterms:created>
  <dc:creator>成滔</dc:creator>
  <cp:lastModifiedBy>成滔</cp:lastModifiedBy>
  <dcterms:modified xsi:type="dcterms:W3CDTF">2023-11-09T02:15:20Z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BF65CFD93EA9421B9E065FDB0153861B_11</vt:lpwstr>
  </property>
</Properties>
</file>